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95" w:rsidRPr="00B44048" w:rsidRDefault="00917AA3" w:rsidP="000B5795">
      <w:pPr>
        <w:autoSpaceDE w:val="0"/>
        <w:autoSpaceDN w:val="0"/>
        <w:adjustRightInd w:val="0"/>
        <w:rPr>
          <w:rFonts w:ascii="Arial" w:hAnsi="Arial" w:cs="Arial"/>
          <w:b/>
          <w:bCs/>
          <w:iCs/>
          <w:color w:val="000000"/>
          <w:sz w:val="22"/>
          <w:szCs w:val="22"/>
        </w:rPr>
      </w:pPr>
      <w:r w:rsidRPr="00B44048">
        <w:rPr>
          <w:rFonts w:ascii="Arial" w:hAnsi="Arial" w:cs="Arial"/>
          <w:b/>
          <w:bCs/>
          <w:iCs/>
          <w:color w:val="000000"/>
          <w:sz w:val="22"/>
          <w:szCs w:val="22"/>
        </w:rPr>
        <w:t>Site Summary</w:t>
      </w:r>
    </w:p>
    <w:p w:rsidR="009C6648" w:rsidRDefault="007043EB" w:rsidP="000B5795">
      <w:pPr>
        <w:jc w:val="both"/>
        <w:rPr>
          <w:rFonts w:ascii="Arial" w:hAnsi="Arial" w:cs="Arial"/>
          <w:sz w:val="20"/>
          <w:szCs w:val="20"/>
        </w:rPr>
      </w:pPr>
      <w:bookmarkStart w:id="0" w:name="OLE_LINK1"/>
      <w:bookmarkStart w:id="1" w:name="OLE_LINK2"/>
      <w:r>
        <w:rPr>
          <w:rFonts w:ascii="Arial" w:hAnsi="Arial" w:cs="Arial"/>
          <w:sz w:val="20"/>
          <w:szCs w:val="20"/>
        </w:rPr>
        <w:t>CL-Out</w:t>
      </w:r>
      <w:r w:rsidR="000B5795" w:rsidRPr="0032594C">
        <w:rPr>
          <w:rFonts w:ascii="Arial" w:hAnsi="Arial" w:cs="Arial"/>
          <w:sz w:val="20"/>
          <w:szCs w:val="20"/>
          <w:vertAlign w:val="superscript"/>
        </w:rPr>
        <w:t>®</w:t>
      </w:r>
      <w:bookmarkEnd w:id="0"/>
      <w:bookmarkEnd w:id="1"/>
      <w:r w:rsidR="000B5795" w:rsidRPr="0032594C">
        <w:rPr>
          <w:rFonts w:ascii="Arial" w:hAnsi="Arial" w:cs="Arial"/>
          <w:sz w:val="20"/>
          <w:szCs w:val="20"/>
        </w:rPr>
        <w:t xml:space="preserve"> </w:t>
      </w:r>
      <w:proofErr w:type="spellStart"/>
      <w:r w:rsidR="000B5795" w:rsidRPr="0032594C">
        <w:rPr>
          <w:rFonts w:ascii="Arial" w:hAnsi="Arial" w:cs="Arial"/>
          <w:sz w:val="20"/>
          <w:szCs w:val="20"/>
        </w:rPr>
        <w:t>bioa</w:t>
      </w:r>
      <w:r w:rsidR="001420C2" w:rsidRPr="0032594C">
        <w:rPr>
          <w:rFonts w:ascii="Arial" w:hAnsi="Arial" w:cs="Arial"/>
          <w:sz w:val="20"/>
          <w:szCs w:val="20"/>
        </w:rPr>
        <w:t>ugmentation</w:t>
      </w:r>
      <w:proofErr w:type="spellEnd"/>
      <w:r w:rsidR="001420C2" w:rsidRPr="0032594C">
        <w:rPr>
          <w:rFonts w:ascii="Arial" w:hAnsi="Arial" w:cs="Arial"/>
          <w:sz w:val="20"/>
          <w:szCs w:val="20"/>
        </w:rPr>
        <w:t xml:space="preserve"> was implemented to remediate </w:t>
      </w:r>
      <w:r w:rsidR="009C6648">
        <w:rPr>
          <w:rFonts w:ascii="Arial" w:hAnsi="Arial" w:cs="Arial"/>
          <w:sz w:val="20"/>
          <w:szCs w:val="20"/>
        </w:rPr>
        <w:t xml:space="preserve">a mixture of chlorinated solvents in soil and ground water at a former chemical packaging company.  The contamination resulted from incidental spills over many years of operations.  After the extent of contamination was determined, a pump and dispose containment system was installed in 1993 to mitigate further off-property contaminant migration.  CL-Out </w:t>
      </w:r>
      <w:proofErr w:type="spellStart"/>
      <w:r w:rsidR="009C6648">
        <w:rPr>
          <w:rFonts w:ascii="Arial" w:hAnsi="Arial" w:cs="Arial"/>
          <w:sz w:val="20"/>
          <w:szCs w:val="20"/>
        </w:rPr>
        <w:t>bioaugmentation</w:t>
      </w:r>
      <w:proofErr w:type="spellEnd"/>
      <w:r w:rsidR="009C6648">
        <w:rPr>
          <w:rFonts w:ascii="Arial" w:hAnsi="Arial" w:cs="Arial"/>
          <w:sz w:val="20"/>
          <w:szCs w:val="20"/>
        </w:rPr>
        <w:t xml:space="preserve"> was initiated in 2001</w:t>
      </w:r>
      <w:r w:rsidR="009D69C2">
        <w:rPr>
          <w:rFonts w:ascii="Arial" w:hAnsi="Arial" w:cs="Arial"/>
          <w:sz w:val="20"/>
          <w:szCs w:val="20"/>
        </w:rPr>
        <w:t xml:space="preserve"> </w:t>
      </w:r>
      <w:r w:rsidR="009C6648">
        <w:rPr>
          <w:rFonts w:ascii="Arial" w:hAnsi="Arial" w:cs="Arial"/>
          <w:sz w:val="20"/>
          <w:szCs w:val="20"/>
        </w:rPr>
        <w:t xml:space="preserve">to remove the source of contamination.  After </w:t>
      </w:r>
      <w:r w:rsidR="009D69C2">
        <w:rPr>
          <w:rFonts w:ascii="Arial" w:hAnsi="Arial" w:cs="Arial"/>
          <w:sz w:val="20"/>
          <w:szCs w:val="20"/>
        </w:rPr>
        <w:t>six months of monthly</w:t>
      </w:r>
      <w:r w:rsidR="00192D10">
        <w:rPr>
          <w:rFonts w:ascii="Arial" w:hAnsi="Arial" w:cs="Arial"/>
          <w:sz w:val="20"/>
          <w:szCs w:val="20"/>
        </w:rPr>
        <w:t xml:space="preserve"> treatment the contamination levels met the applicable drinking water standards.</w:t>
      </w:r>
    </w:p>
    <w:p w:rsidR="000B5795" w:rsidRPr="000B5795" w:rsidRDefault="000B5795" w:rsidP="000B5795">
      <w:pPr>
        <w:jc w:val="both"/>
        <w:rPr>
          <w:rFonts w:ascii="Arial" w:hAnsi="Arial" w:cs="Arial"/>
          <w:b/>
          <w:sz w:val="22"/>
          <w:szCs w:val="22"/>
        </w:rPr>
      </w:pPr>
    </w:p>
    <w:p w:rsidR="005E7115" w:rsidRPr="00B44048" w:rsidRDefault="000B5795" w:rsidP="00123B3D">
      <w:pPr>
        <w:rPr>
          <w:rFonts w:ascii="Arial" w:hAnsi="Arial" w:cs="Arial"/>
          <w:b/>
          <w:bCs/>
          <w:iCs/>
          <w:color w:val="000000"/>
          <w:sz w:val="22"/>
          <w:szCs w:val="22"/>
        </w:rPr>
      </w:pPr>
      <w:r w:rsidRPr="00B44048">
        <w:rPr>
          <w:rFonts w:ascii="Arial" w:hAnsi="Arial" w:cs="Arial"/>
          <w:b/>
          <w:bCs/>
          <w:iCs/>
          <w:color w:val="000000"/>
          <w:sz w:val="22"/>
          <w:szCs w:val="22"/>
        </w:rPr>
        <w:t>Geology and Hydrogeology</w:t>
      </w:r>
    </w:p>
    <w:p w:rsidR="00192D10" w:rsidRDefault="00FB6B19" w:rsidP="000B5795">
      <w:pPr>
        <w:jc w:val="both"/>
        <w:rPr>
          <w:rFonts w:ascii="Arial" w:hAnsi="Arial" w:cs="Arial"/>
          <w:sz w:val="20"/>
          <w:szCs w:val="20"/>
        </w:rPr>
      </w:pPr>
      <w:r>
        <w:rPr>
          <w:rFonts w:ascii="Arial" w:hAnsi="Arial" w:cs="Arial"/>
          <w:sz w:val="20"/>
          <w:szCs w:val="20"/>
        </w:rPr>
        <w:t xml:space="preserve">The site is </w:t>
      </w:r>
      <w:r w:rsidR="00192D10">
        <w:rPr>
          <w:rFonts w:ascii="Arial" w:hAnsi="Arial" w:cs="Arial"/>
          <w:sz w:val="20"/>
          <w:szCs w:val="20"/>
        </w:rPr>
        <w:t xml:space="preserve">set in a complex fluvial and glacial region where tills and fluvial channel deposits are interbedded.  The surface material is mainly industrial fill over silty clay till.  Perched ground water is present in a sandy gravel deposit in a former fluvial channel at the base of the fill and top of the till.  </w:t>
      </w:r>
    </w:p>
    <w:p w:rsidR="00192D10" w:rsidRDefault="00192D10" w:rsidP="000B5795">
      <w:pPr>
        <w:jc w:val="both"/>
        <w:rPr>
          <w:rFonts w:ascii="Arial" w:hAnsi="Arial" w:cs="Arial"/>
          <w:sz w:val="20"/>
          <w:szCs w:val="20"/>
        </w:rPr>
      </w:pPr>
    </w:p>
    <w:p w:rsidR="000B5795" w:rsidRDefault="00192D10" w:rsidP="000B5795">
      <w:pPr>
        <w:jc w:val="both"/>
        <w:rPr>
          <w:rFonts w:ascii="Arial" w:hAnsi="Arial" w:cs="Arial"/>
          <w:sz w:val="20"/>
          <w:szCs w:val="20"/>
        </w:rPr>
      </w:pPr>
      <w:r>
        <w:rPr>
          <w:rFonts w:ascii="Arial" w:hAnsi="Arial" w:cs="Arial"/>
          <w:sz w:val="20"/>
          <w:szCs w:val="20"/>
        </w:rPr>
        <w:t xml:space="preserve">The perched ground water zone is the main conduit for contaminant migration. The perched ground water zone is approximately 4 feet thick.  The hydraulic conductivity of </w:t>
      </w:r>
      <w:r w:rsidR="009D69C2">
        <w:rPr>
          <w:rFonts w:ascii="Arial" w:hAnsi="Arial" w:cs="Arial"/>
          <w:sz w:val="20"/>
          <w:szCs w:val="20"/>
        </w:rPr>
        <w:t>the deposits was measured as 10</w:t>
      </w:r>
      <w:r w:rsidR="009D69C2" w:rsidRPr="009D69C2">
        <w:rPr>
          <w:rFonts w:ascii="Arial" w:hAnsi="Arial" w:cs="Arial"/>
          <w:sz w:val="20"/>
          <w:szCs w:val="20"/>
          <w:vertAlign w:val="superscript"/>
        </w:rPr>
        <w:t>-4</w:t>
      </w:r>
      <w:r w:rsidR="009D69C2">
        <w:rPr>
          <w:rFonts w:ascii="Arial" w:hAnsi="Arial" w:cs="Arial"/>
          <w:sz w:val="20"/>
          <w:szCs w:val="20"/>
        </w:rPr>
        <w:t xml:space="preserve"> </w:t>
      </w:r>
      <w:r>
        <w:rPr>
          <w:rFonts w:ascii="Arial" w:hAnsi="Arial" w:cs="Arial"/>
          <w:sz w:val="20"/>
          <w:szCs w:val="20"/>
        </w:rPr>
        <w:t>cm/sec.  The flow direction was irregular and controlled by the former channel boundaries.</w:t>
      </w:r>
    </w:p>
    <w:p w:rsidR="00917AA3" w:rsidRPr="00192D10" w:rsidRDefault="00917AA3" w:rsidP="00192D10">
      <w:pPr>
        <w:jc w:val="both"/>
        <w:rPr>
          <w:rFonts w:ascii="Arial" w:hAnsi="Arial" w:cs="Lucida Sans Unicode"/>
          <w:color w:val="000000"/>
          <w:sz w:val="20"/>
          <w:szCs w:val="20"/>
        </w:rPr>
      </w:pPr>
    </w:p>
    <w:p w:rsidR="001420C2" w:rsidRDefault="000B5795" w:rsidP="00A756FC">
      <w:pPr>
        <w:rPr>
          <w:rFonts w:ascii="Arial" w:hAnsi="Arial" w:cs="Arial"/>
          <w:sz w:val="22"/>
          <w:szCs w:val="22"/>
        </w:rPr>
      </w:pPr>
      <w:r w:rsidRPr="00917AA3">
        <w:rPr>
          <w:rFonts w:ascii="Arial" w:hAnsi="Arial" w:cs="Arial"/>
          <w:b/>
          <w:bCs/>
          <w:iCs/>
          <w:color w:val="000000"/>
          <w:sz w:val="22"/>
          <w:szCs w:val="28"/>
        </w:rPr>
        <w:t>Contamination</w:t>
      </w:r>
    </w:p>
    <w:p w:rsidR="00192D10" w:rsidRDefault="00192D10" w:rsidP="000B5795">
      <w:pPr>
        <w:jc w:val="both"/>
        <w:rPr>
          <w:rFonts w:ascii="Arial" w:hAnsi="Arial" w:cs="Arial"/>
          <w:sz w:val="22"/>
          <w:szCs w:val="22"/>
        </w:rPr>
        <w:sectPr w:rsidR="00192D10" w:rsidSect="00BA0FA9">
          <w:headerReference w:type="default" r:id="rId6"/>
          <w:pgSz w:w="12240" w:h="15840"/>
          <w:pgMar w:top="720" w:right="720" w:bottom="720" w:left="720" w:header="720" w:footer="720" w:gutter="0"/>
          <w:cols w:space="720"/>
          <w:docGrid w:linePitch="360"/>
        </w:sectPr>
      </w:pPr>
    </w:p>
    <w:p w:rsidR="00917AA3" w:rsidRDefault="00192D10" w:rsidP="000B5795">
      <w:pPr>
        <w:jc w:val="both"/>
        <w:rPr>
          <w:rFonts w:ascii="Arial" w:hAnsi="Arial" w:cs="Arial"/>
          <w:sz w:val="20"/>
          <w:szCs w:val="20"/>
        </w:rPr>
      </w:pPr>
      <w:r>
        <w:rPr>
          <w:rFonts w:ascii="Arial" w:hAnsi="Arial" w:cs="Arial"/>
          <w:sz w:val="20"/>
          <w:szCs w:val="20"/>
        </w:rPr>
        <w:lastRenderedPageBreak/>
        <w:t>The volume of soil contamination in the vadose zone source area was estimated to be 2,200 tons.  The main contaminants were 1</w:t>
      </w:r>
      <w:proofErr w:type="gramStart"/>
      <w:r>
        <w:rPr>
          <w:rFonts w:ascii="Arial" w:hAnsi="Arial" w:cs="Arial"/>
          <w:sz w:val="20"/>
          <w:szCs w:val="20"/>
        </w:rPr>
        <w:t>,1,1</w:t>
      </w:r>
      <w:proofErr w:type="gramEnd"/>
      <w:r>
        <w:rPr>
          <w:rFonts w:ascii="Arial" w:hAnsi="Arial" w:cs="Arial"/>
          <w:sz w:val="20"/>
          <w:szCs w:val="20"/>
        </w:rPr>
        <w:t>-</w:t>
      </w:r>
      <w:r w:rsidR="0065118C">
        <w:rPr>
          <w:rFonts w:ascii="Arial" w:hAnsi="Arial" w:cs="Arial"/>
          <w:sz w:val="20"/>
          <w:szCs w:val="20"/>
        </w:rPr>
        <w:t>TCA</w:t>
      </w:r>
      <w:r>
        <w:rPr>
          <w:rFonts w:ascii="Arial" w:hAnsi="Arial" w:cs="Arial"/>
          <w:sz w:val="20"/>
          <w:szCs w:val="20"/>
        </w:rPr>
        <w:t>, P</w:t>
      </w:r>
      <w:r w:rsidR="009D69C2">
        <w:rPr>
          <w:rFonts w:ascii="Arial" w:hAnsi="Arial" w:cs="Arial"/>
          <w:sz w:val="20"/>
          <w:szCs w:val="20"/>
        </w:rPr>
        <w:t>CE and TCE.  The maximum soil concentrations were: PCE 1.1 m</w:t>
      </w:r>
      <w:r>
        <w:rPr>
          <w:rFonts w:ascii="Arial" w:hAnsi="Arial" w:cs="Arial"/>
          <w:sz w:val="20"/>
          <w:szCs w:val="20"/>
        </w:rPr>
        <w:t>g</w:t>
      </w:r>
      <w:r w:rsidR="009D69C2">
        <w:rPr>
          <w:rFonts w:ascii="Arial" w:hAnsi="Arial" w:cs="Arial"/>
          <w:sz w:val="20"/>
          <w:szCs w:val="20"/>
        </w:rPr>
        <w:t>/kg, TCE 2.2 mg/kg, 1</w:t>
      </w:r>
      <w:proofErr w:type="gramStart"/>
      <w:r w:rsidR="009D69C2">
        <w:rPr>
          <w:rFonts w:ascii="Arial" w:hAnsi="Arial" w:cs="Arial"/>
          <w:sz w:val="20"/>
          <w:szCs w:val="20"/>
        </w:rPr>
        <w:t>,1,1</w:t>
      </w:r>
      <w:proofErr w:type="gramEnd"/>
      <w:r w:rsidR="009D69C2">
        <w:rPr>
          <w:rFonts w:ascii="Arial" w:hAnsi="Arial" w:cs="Arial"/>
          <w:sz w:val="20"/>
          <w:szCs w:val="20"/>
        </w:rPr>
        <w:t>-TCA 1.2 mg/kg, and 1,1-DCE 0.003 mg/kg.</w:t>
      </w:r>
    </w:p>
    <w:p w:rsidR="00192D10" w:rsidRDefault="00192D10" w:rsidP="000B5795">
      <w:pPr>
        <w:jc w:val="both"/>
        <w:rPr>
          <w:rFonts w:ascii="Arial" w:hAnsi="Arial" w:cs="Arial"/>
          <w:sz w:val="20"/>
          <w:szCs w:val="20"/>
        </w:rPr>
      </w:pPr>
    </w:p>
    <w:p w:rsidR="00192D10" w:rsidRPr="0032594C" w:rsidRDefault="00192D10" w:rsidP="000B5795">
      <w:pPr>
        <w:jc w:val="both"/>
        <w:rPr>
          <w:rFonts w:ascii="Arial" w:hAnsi="Arial" w:cs="Arial"/>
          <w:sz w:val="20"/>
          <w:szCs w:val="20"/>
        </w:rPr>
      </w:pPr>
      <w:r>
        <w:rPr>
          <w:rFonts w:ascii="Arial" w:hAnsi="Arial" w:cs="Arial"/>
          <w:sz w:val="20"/>
          <w:szCs w:val="20"/>
        </w:rPr>
        <w:t>The ground water plume containing the solvents was estimated to be 12,000 square feet.  The main contami</w:t>
      </w:r>
      <w:r w:rsidR="00A756FC">
        <w:rPr>
          <w:rFonts w:ascii="Arial" w:hAnsi="Arial" w:cs="Arial"/>
          <w:sz w:val="20"/>
          <w:szCs w:val="20"/>
        </w:rPr>
        <w:t>n</w:t>
      </w:r>
      <w:r>
        <w:rPr>
          <w:rFonts w:ascii="Arial" w:hAnsi="Arial" w:cs="Arial"/>
          <w:sz w:val="20"/>
          <w:szCs w:val="20"/>
        </w:rPr>
        <w:t xml:space="preserve">ants </w:t>
      </w:r>
      <w:r w:rsidR="009D69C2">
        <w:rPr>
          <w:rFonts w:ascii="Arial" w:hAnsi="Arial" w:cs="Arial"/>
          <w:sz w:val="20"/>
          <w:szCs w:val="20"/>
        </w:rPr>
        <w:t xml:space="preserve">and maximum concentrations </w:t>
      </w:r>
      <w:r>
        <w:rPr>
          <w:rFonts w:ascii="Arial" w:hAnsi="Arial" w:cs="Arial"/>
          <w:sz w:val="20"/>
          <w:szCs w:val="20"/>
        </w:rPr>
        <w:t>were</w:t>
      </w:r>
      <w:r w:rsidR="009D69C2">
        <w:rPr>
          <w:rFonts w:ascii="Arial" w:hAnsi="Arial" w:cs="Arial"/>
          <w:sz w:val="20"/>
          <w:szCs w:val="20"/>
        </w:rPr>
        <w:t>:</w:t>
      </w:r>
      <w:r>
        <w:rPr>
          <w:rFonts w:ascii="Arial" w:hAnsi="Arial" w:cs="Arial"/>
          <w:sz w:val="20"/>
          <w:szCs w:val="20"/>
        </w:rPr>
        <w:t xml:space="preserve"> </w:t>
      </w:r>
      <w:r w:rsidR="00A756FC">
        <w:rPr>
          <w:rFonts w:ascii="Arial" w:hAnsi="Arial" w:cs="Arial"/>
          <w:sz w:val="20"/>
          <w:szCs w:val="20"/>
        </w:rPr>
        <w:t>1</w:t>
      </w:r>
      <w:proofErr w:type="gramStart"/>
      <w:r w:rsidR="00A756FC">
        <w:rPr>
          <w:rFonts w:ascii="Arial" w:hAnsi="Arial" w:cs="Arial"/>
          <w:sz w:val="20"/>
          <w:szCs w:val="20"/>
        </w:rPr>
        <w:t>,1,1</w:t>
      </w:r>
      <w:proofErr w:type="gramEnd"/>
      <w:r w:rsidR="00A756FC">
        <w:rPr>
          <w:rFonts w:ascii="Arial" w:hAnsi="Arial" w:cs="Arial"/>
          <w:sz w:val="20"/>
          <w:szCs w:val="20"/>
        </w:rPr>
        <w:t>-TCA</w:t>
      </w:r>
      <w:r w:rsidR="009D69C2">
        <w:rPr>
          <w:rFonts w:ascii="Arial" w:hAnsi="Arial" w:cs="Arial"/>
          <w:sz w:val="20"/>
          <w:szCs w:val="20"/>
        </w:rPr>
        <w:t xml:space="preserve"> 2.7 mg/L, </w:t>
      </w:r>
      <w:r w:rsidR="00A756FC">
        <w:rPr>
          <w:rFonts w:ascii="Arial" w:hAnsi="Arial" w:cs="Arial"/>
          <w:sz w:val="20"/>
          <w:szCs w:val="20"/>
        </w:rPr>
        <w:t xml:space="preserve">PCE </w:t>
      </w:r>
      <w:r w:rsidR="009D69C2">
        <w:rPr>
          <w:rFonts w:ascii="Arial" w:hAnsi="Arial" w:cs="Arial"/>
          <w:sz w:val="20"/>
          <w:szCs w:val="20"/>
        </w:rPr>
        <w:t xml:space="preserve">0.11 mg/L, </w:t>
      </w:r>
      <w:r w:rsidR="00A756FC">
        <w:rPr>
          <w:rFonts w:ascii="Arial" w:hAnsi="Arial" w:cs="Arial"/>
          <w:sz w:val="20"/>
          <w:szCs w:val="20"/>
        </w:rPr>
        <w:t>and TCE</w:t>
      </w:r>
      <w:r w:rsidR="009D69C2">
        <w:rPr>
          <w:rFonts w:ascii="Arial" w:hAnsi="Arial" w:cs="Arial"/>
          <w:sz w:val="20"/>
          <w:szCs w:val="20"/>
        </w:rPr>
        <w:t xml:space="preserve"> 0.58 mg/L</w:t>
      </w:r>
      <w:r w:rsidR="00A756FC">
        <w:rPr>
          <w:rFonts w:ascii="Arial" w:hAnsi="Arial" w:cs="Arial"/>
          <w:sz w:val="20"/>
          <w:szCs w:val="20"/>
        </w:rPr>
        <w:t>, with some daughter products including 1,2-DCE</w:t>
      </w:r>
      <w:r w:rsidR="009D69C2">
        <w:rPr>
          <w:rFonts w:ascii="Arial" w:hAnsi="Arial" w:cs="Arial"/>
          <w:sz w:val="20"/>
          <w:szCs w:val="20"/>
        </w:rPr>
        <w:t xml:space="preserve"> 2.9 mg/L</w:t>
      </w:r>
      <w:r w:rsidR="00A756FC">
        <w:rPr>
          <w:rFonts w:ascii="Arial" w:hAnsi="Arial" w:cs="Arial"/>
          <w:sz w:val="20"/>
          <w:szCs w:val="20"/>
        </w:rPr>
        <w:t>, vinyl chloride</w:t>
      </w:r>
      <w:r w:rsidR="009D69C2">
        <w:rPr>
          <w:rFonts w:ascii="Arial" w:hAnsi="Arial" w:cs="Arial"/>
          <w:sz w:val="20"/>
          <w:szCs w:val="20"/>
        </w:rPr>
        <w:t xml:space="preserve"> 0.17 mg/L</w:t>
      </w:r>
      <w:r w:rsidR="00A756FC">
        <w:rPr>
          <w:rFonts w:ascii="Arial" w:hAnsi="Arial" w:cs="Arial"/>
          <w:sz w:val="20"/>
          <w:szCs w:val="20"/>
        </w:rPr>
        <w:t xml:space="preserve"> and 1,1-DCA</w:t>
      </w:r>
      <w:r w:rsidR="009D69C2">
        <w:rPr>
          <w:rFonts w:ascii="Arial" w:hAnsi="Arial" w:cs="Arial"/>
          <w:sz w:val="20"/>
          <w:szCs w:val="20"/>
        </w:rPr>
        <w:t xml:space="preserve"> 0.12 mg/L</w:t>
      </w:r>
      <w:r w:rsidR="00A756FC">
        <w:rPr>
          <w:rFonts w:ascii="Arial" w:hAnsi="Arial" w:cs="Arial"/>
          <w:sz w:val="20"/>
          <w:szCs w:val="20"/>
        </w:rPr>
        <w:t xml:space="preserve">.  </w:t>
      </w:r>
    </w:p>
    <w:p w:rsidR="00273BC0" w:rsidRPr="00917AA3" w:rsidRDefault="00273BC0" w:rsidP="000B5795">
      <w:pPr>
        <w:jc w:val="both"/>
        <w:rPr>
          <w:rFonts w:ascii="Arial" w:hAnsi="Arial" w:cs="Arial"/>
          <w:sz w:val="22"/>
          <w:szCs w:val="22"/>
        </w:rPr>
      </w:pPr>
    </w:p>
    <w:p w:rsidR="00593B8E" w:rsidRDefault="00593B8E" w:rsidP="000B5795">
      <w:pPr>
        <w:jc w:val="both"/>
        <w:rPr>
          <w:rFonts w:ascii="Arial" w:hAnsi="Arial" w:cs="Arial"/>
          <w:b/>
          <w:bCs/>
          <w:iCs/>
          <w:color w:val="000000"/>
          <w:sz w:val="22"/>
          <w:szCs w:val="28"/>
        </w:rPr>
        <w:sectPr w:rsidR="00593B8E" w:rsidSect="00593B8E">
          <w:type w:val="continuous"/>
          <w:pgSz w:w="12240" w:h="15840"/>
          <w:pgMar w:top="720" w:right="720" w:bottom="720" w:left="720" w:header="720" w:footer="720" w:gutter="0"/>
          <w:cols w:space="720"/>
          <w:docGrid w:linePitch="360"/>
        </w:sectPr>
      </w:pPr>
    </w:p>
    <w:p w:rsidR="005E7115" w:rsidRDefault="00917AA3" w:rsidP="000B5795">
      <w:pPr>
        <w:jc w:val="both"/>
        <w:rPr>
          <w:rFonts w:ascii="Arial" w:hAnsi="Arial" w:cs="Arial"/>
          <w:b/>
          <w:bCs/>
          <w:iCs/>
          <w:color w:val="000000"/>
          <w:sz w:val="22"/>
          <w:szCs w:val="28"/>
        </w:rPr>
      </w:pPr>
      <w:r>
        <w:rPr>
          <w:rFonts w:ascii="Arial" w:hAnsi="Arial" w:cs="Arial"/>
          <w:b/>
          <w:bCs/>
          <w:iCs/>
          <w:color w:val="000000"/>
          <w:sz w:val="22"/>
          <w:szCs w:val="28"/>
        </w:rPr>
        <w:lastRenderedPageBreak/>
        <w:t>Remediation</w:t>
      </w:r>
    </w:p>
    <w:p w:rsidR="00E61965" w:rsidRDefault="0065118C" w:rsidP="000B5795">
      <w:pPr>
        <w:jc w:val="both"/>
        <w:rPr>
          <w:rFonts w:ascii="Arial" w:hAnsi="Arial" w:cs="Arial"/>
          <w:sz w:val="20"/>
          <w:szCs w:val="20"/>
        </w:rPr>
      </w:pPr>
      <w:r>
        <w:rPr>
          <w:rFonts w:ascii="Arial" w:hAnsi="Arial" w:cs="Arial"/>
          <w:sz w:val="20"/>
          <w:szCs w:val="20"/>
        </w:rPr>
        <w:t>CL-Out</w:t>
      </w:r>
      <w:r w:rsidR="00034101" w:rsidRPr="0032594C">
        <w:rPr>
          <w:rFonts w:ascii="Arial" w:hAnsi="Arial" w:cs="Arial"/>
          <w:sz w:val="20"/>
          <w:szCs w:val="20"/>
          <w:vertAlign w:val="superscript"/>
        </w:rPr>
        <w:t>®</w:t>
      </w:r>
      <w:r w:rsidR="000B5795" w:rsidRPr="0032594C">
        <w:rPr>
          <w:rFonts w:ascii="Arial" w:hAnsi="Arial" w:cs="Arial"/>
          <w:sz w:val="20"/>
          <w:szCs w:val="20"/>
        </w:rPr>
        <w:t xml:space="preserve"> was applied </w:t>
      </w:r>
      <w:r w:rsidR="000114D2" w:rsidRPr="0032594C">
        <w:rPr>
          <w:rFonts w:ascii="Arial" w:hAnsi="Arial" w:cs="Arial"/>
          <w:sz w:val="20"/>
          <w:szCs w:val="20"/>
        </w:rPr>
        <w:t xml:space="preserve">by injecting a concentrated </w:t>
      </w:r>
      <w:r>
        <w:rPr>
          <w:rFonts w:ascii="Arial" w:hAnsi="Arial" w:cs="Arial"/>
          <w:sz w:val="20"/>
          <w:szCs w:val="20"/>
        </w:rPr>
        <w:t xml:space="preserve">microbial </w:t>
      </w:r>
      <w:r w:rsidR="000114D2" w:rsidRPr="0032594C">
        <w:rPr>
          <w:rFonts w:ascii="Arial" w:hAnsi="Arial" w:cs="Arial"/>
          <w:sz w:val="20"/>
          <w:szCs w:val="20"/>
        </w:rPr>
        <w:t xml:space="preserve">solution into the </w:t>
      </w:r>
      <w:r w:rsidR="009D69C2">
        <w:rPr>
          <w:rFonts w:ascii="Arial" w:hAnsi="Arial" w:cs="Arial"/>
          <w:sz w:val="20"/>
          <w:szCs w:val="20"/>
        </w:rPr>
        <w:t>soil and ground water in the source</w:t>
      </w:r>
      <w:r w:rsidR="000114D2" w:rsidRPr="0032594C">
        <w:rPr>
          <w:rFonts w:ascii="Arial" w:hAnsi="Arial" w:cs="Arial"/>
          <w:sz w:val="20"/>
          <w:szCs w:val="20"/>
        </w:rPr>
        <w:t xml:space="preserve">. </w:t>
      </w:r>
      <w:r w:rsidR="009D69C2">
        <w:rPr>
          <w:rFonts w:ascii="Arial" w:hAnsi="Arial" w:cs="Arial"/>
          <w:sz w:val="20"/>
          <w:szCs w:val="20"/>
        </w:rPr>
        <w:t xml:space="preserve">Six pairs </w:t>
      </w:r>
      <w:proofErr w:type="gramStart"/>
      <w:r w:rsidR="009D69C2">
        <w:rPr>
          <w:rFonts w:ascii="Arial" w:hAnsi="Arial" w:cs="Arial"/>
          <w:sz w:val="20"/>
          <w:szCs w:val="20"/>
        </w:rPr>
        <w:t>of  on</w:t>
      </w:r>
      <w:proofErr w:type="gramEnd"/>
      <w:r w:rsidR="009D69C2">
        <w:rPr>
          <w:rFonts w:ascii="Arial" w:hAnsi="Arial" w:cs="Arial"/>
          <w:sz w:val="20"/>
          <w:szCs w:val="20"/>
        </w:rPr>
        <w:t>-inch diameter injection points were installed with one injection point competed in the shallow soil and one penetrating to the perched ground water.</w:t>
      </w:r>
      <w:r w:rsidR="000114D2" w:rsidRPr="0032594C">
        <w:rPr>
          <w:rFonts w:ascii="Arial" w:hAnsi="Arial" w:cs="Arial"/>
          <w:sz w:val="20"/>
          <w:szCs w:val="20"/>
        </w:rPr>
        <w:t xml:space="preserve"> The </w:t>
      </w:r>
      <w:r w:rsidR="00521838">
        <w:rPr>
          <w:rFonts w:ascii="Arial" w:hAnsi="Arial" w:cs="Arial"/>
          <w:sz w:val="20"/>
          <w:szCs w:val="20"/>
        </w:rPr>
        <w:t>CL-Out</w:t>
      </w:r>
      <w:r w:rsidR="000114D2" w:rsidRPr="0032594C">
        <w:rPr>
          <w:rFonts w:ascii="Arial" w:hAnsi="Arial" w:cs="Arial"/>
          <w:sz w:val="20"/>
          <w:szCs w:val="20"/>
          <w:vertAlign w:val="superscript"/>
        </w:rPr>
        <w:t>®</w:t>
      </w:r>
      <w:r w:rsidR="000114D2" w:rsidRPr="0032594C">
        <w:rPr>
          <w:rFonts w:ascii="Arial" w:hAnsi="Arial" w:cs="Arial"/>
          <w:sz w:val="20"/>
          <w:szCs w:val="20"/>
        </w:rPr>
        <w:t xml:space="preserve"> was allowed to flush through the</w:t>
      </w:r>
      <w:r w:rsidR="009D69C2">
        <w:rPr>
          <w:rFonts w:ascii="Arial" w:hAnsi="Arial" w:cs="Arial"/>
          <w:sz w:val="20"/>
          <w:szCs w:val="20"/>
        </w:rPr>
        <w:t xml:space="preserve"> soil and </w:t>
      </w:r>
      <w:r>
        <w:rPr>
          <w:rFonts w:ascii="Arial" w:hAnsi="Arial" w:cs="Arial"/>
          <w:sz w:val="20"/>
          <w:szCs w:val="20"/>
        </w:rPr>
        <w:t>aquifer</w:t>
      </w:r>
      <w:r w:rsidR="000114D2" w:rsidRPr="0032594C">
        <w:rPr>
          <w:rFonts w:ascii="Arial" w:hAnsi="Arial" w:cs="Arial"/>
          <w:sz w:val="20"/>
          <w:szCs w:val="20"/>
        </w:rPr>
        <w:t xml:space="preserve"> and f</w:t>
      </w:r>
      <w:r>
        <w:rPr>
          <w:rFonts w:ascii="Arial" w:hAnsi="Arial" w:cs="Arial"/>
          <w:sz w:val="20"/>
          <w:szCs w:val="20"/>
        </w:rPr>
        <w:t>o</w:t>
      </w:r>
      <w:r w:rsidR="009D69C2">
        <w:rPr>
          <w:rFonts w:ascii="Arial" w:hAnsi="Arial" w:cs="Arial"/>
          <w:sz w:val="20"/>
          <w:szCs w:val="20"/>
        </w:rPr>
        <w:t>llow the migration path of the contaminants</w:t>
      </w:r>
      <w:r w:rsidR="000114D2" w:rsidRPr="0032594C">
        <w:rPr>
          <w:rFonts w:ascii="Arial" w:hAnsi="Arial" w:cs="Arial"/>
          <w:sz w:val="20"/>
          <w:szCs w:val="20"/>
        </w:rPr>
        <w:t xml:space="preserve">. </w:t>
      </w:r>
    </w:p>
    <w:p w:rsidR="00E61965" w:rsidRDefault="00E61965" w:rsidP="000B5795">
      <w:pPr>
        <w:jc w:val="both"/>
        <w:rPr>
          <w:rFonts w:ascii="Arial" w:hAnsi="Arial" w:cs="Arial"/>
          <w:sz w:val="20"/>
          <w:szCs w:val="20"/>
        </w:rPr>
      </w:pPr>
    </w:p>
    <w:p w:rsidR="000B5795" w:rsidRPr="0032594C" w:rsidRDefault="00E61965" w:rsidP="000B5795">
      <w:pPr>
        <w:jc w:val="both"/>
        <w:rPr>
          <w:rFonts w:ascii="Arial" w:hAnsi="Arial" w:cs="Arial"/>
          <w:sz w:val="20"/>
          <w:szCs w:val="20"/>
        </w:rPr>
      </w:pPr>
      <w:r>
        <w:rPr>
          <w:rFonts w:ascii="Arial" w:hAnsi="Arial" w:cs="Arial"/>
          <w:sz w:val="20"/>
          <w:szCs w:val="20"/>
        </w:rPr>
        <w:t xml:space="preserve">The six injections were completed between </w:t>
      </w:r>
      <w:r w:rsidR="00133884">
        <w:rPr>
          <w:rFonts w:ascii="Arial" w:hAnsi="Arial" w:cs="Arial"/>
          <w:sz w:val="20"/>
          <w:szCs w:val="20"/>
        </w:rPr>
        <w:t>February</w:t>
      </w:r>
      <w:r>
        <w:rPr>
          <w:rFonts w:ascii="Arial" w:hAnsi="Arial" w:cs="Arial"/>
          <w:sz w:val="20"/>
          <w:szCs w:val="20"/>
        </w:rPr>
        <w:t xml:space="preserve"> and November 2001.  The volume injected ranged between 275 and 385 gallons of CL-Out solution per event.</w:t>
      </w:r>
    </w:p>
    <w:p w:rsidR="00034101" w:rsidRDefault="00034101" w:rsidP="000B5795">
      <w:pPr>
        <w:jc w:val="both"/>
        <w:rPr>
          <w:rFonts w:ascii="Arial" w:hAnsi="Arial" w:cs="Arial"/>
          <w:sz w:val="22"/>
          <w:szCs w:val="22"/>
        </w:rPr>
      </w:pPr>
    </w:p>
    <w:p w:rsidR="005E7115" w:rsidRPr="00917AA3" w:rsidRDefault="00034101" w:rsidP="000B5795">
      <w:pPr>
        <w:jc w:val="both"/>
        <w:rPr>
          <w:rFonts w:ascii="Arial" w:hAnsi="Arial" w:cs="Arial"/>
          <w:sz w:val="22"/>
          <w:szCs w:val="22"/>
        </w:rPr>
      </w:pPr>
      <w:r w:rsidRPr="00034101">
        <w:rPr>
          <w:rFonts w:ascii="Arial" w:hAnsi="Arial" w:cs="Arial"/>
          <w:b/>
          <w:sz w:val="22"/>
          <w:szCs w:val="22"/>
        </w:rPr>
        <w:t>Results</w:t>
      </w:r>
    </w:p>
    <w:p w:rsidR="000B5795" w:rsidRDefault="00123B3D" w:rsidP="000B5795">
      <w:pPr>
        <w:jc w:val="both"/>
        <w:rPr>
          <w:rFonts w:ascii="Arial" w:hAnsi="Arial" w:cs="Arial"/>
          <w:sz w:val="20"/>
          <w:szCs w:val="20"/>
        </w:rPr>
      </w:pPr>
      <w:r w:rsidRPr="0032594C">
        <w:rPr>
          <w:rFonts w:ascii="Arial" w:hAnsi="Arial" w:cs="Arial"/>
          <w:sz w:val="20"/>
          <w:szCs w:val="20"/>
        </w:rPr>
        <w:t xml:space="preserve">Following </w:t>
      </w:r>
      <w:r w:rsidR="00521838">
        <w:rPr>
          <w:rFonts w:ascii="Arial" w:hAnsi="Arial" w:cs="Arial"/>
          <w:sz w:val="20"/>
          <w:szCs w:val="20"/>
        </w:rPr>
        <w:t>CL-Out</w:t>
      </w:r>
      <w:r w:rsidR="00F40977" w:rsidRPr="0032594C">
        <w:rPr>
          <w:rFonts w:ascii="Arial" w:hAnsi="Arial" w:cs="Arial"/>
          <w:sz w:val="20"/>
          <w:szCs w:val="20"/>
          <w:vertAlign w:val="superscript"/>
        </w:rPr>
        <w:t>®</w:t>
      </w:r>
      <w:r w:rsidR="00F40977" w:rsidRPr="0032594C">
        <w:rPr>
          <w:rFonts w:ascii="Arial" w:hAnsi="Arial" w:cs="Arial"/>
          <w:sz w:val="20"/>
          <w:szCs w:val="20"/>
        </w:rPr>
        <w:t xml:space="preserve"> </w:t>
      </w:r>
      <w:proofErr w:type="spellStart"/>
      <w:r w:rsidR="00607A16" w:rsidRPr="0032594C">
        <w:rPr>
          <w:rFonts w:ascii="Arial" w:hAnsi="Arial" w:cs="Arial"/>
          <w:sz w:val="20"/>
          <w:szCs w:val="20"/>
        </w:rPr>
        <w:t>bioaugmentation</w:t>
      </w:r>
      <w:proofErr w:type="spellEnd"/>
      <w:r w:rsidR="005E7115">
        <w:rPr>
          <w:rFonts w:ascii="Arial" w:hAnsi="Arial" w:cs="Arial"/>
          <w:sz w:val="20"/>
          <w:szCs w:val="20"/>
        </w:rPr>
        <w:t>,</w:t>
      </w:r>
      <w:r w:rsidRPr="0032594C">
        <w:rPr>
          <w:rFonts w:ascii="Arial" w:hAnsi="Arial" w:cs="Arial"/>
          <w:sz w:val="20"/>
          <w:szCs w:val="20"/>
        </w:rPr>
        <w:t xml:space="preserve"> </w:t>
      </w:r>
      <w:r w:rsidR="00E61965">
        <w:rPr>
          <w:rFonts w:ascii="Arial" w:hAnsi="Arial" w:cs="Arial"/>
          <w:sz w:val="20"/>
          <w:szCs w:val="20"/>
        </w:rPr>
        <w:t>ground water monitoring in an untreated monitoring well was used to track the remediation results.  T</w:t>
      </w:r>
      <w:r w:rsidRPr="0032594C">
        <w:rPr>
          <w:rFonts w:ascii="Arial" w:hAnsi="Arial" w:cs="Arial"/>
          <w:sz w:val="20"/>
          <w:szCs w:val="20"/>
        </w:rPr>
        <w:t xml:space="preserve">he </w:t>
      </w:r>
      <w:r w:rsidR="00521838">
        <w:rPr>
          <w:rFonts w:ascii="Arial" w:hAnsi="Arial" w:cs="Arial"/>
          <w:sz w:val="20"/>
          <w:szCs w:val="20"/>
        </w:rPr>
        <w:t xml:space="preserve">concentration of </w:t>
      </w:r>
      <w:r w:rsidR="00E61965">
        <w:rPr>
          <w:rFonts w:ascii="Arial" w:hAnsi="Arial" w:cs="Arial"/>
          <w:sz w:val="20"/>
          <w:szCs w:val="20"/>
        </w:rPr>
        <w:t>all contaminants</w:t>
      </w:r>
      <w:r w:rsidR="00521838">
        <w:rPr>
          <w:rFonts w:ascii="Arial" w:hAnsi="Arial" w:cs="Arial"/>
          <w:sz w:val="20"/>
          <w:szCs w:val="20"/>
        </w:rPr>
        <w:t xml:space="preserve"> decreased </w:t>
      </w:r>
      <w:r w:rsidR="00E61965">
        <w:rPr>
          <w:rFonts w:ascii="Arial" w:hAnsi="Arial" w:cs="Arial"/>
          <w:sz w:val="20"/>
          <w:szCs w:val="20"/>
        </w:rPr>
        <w:t>quickly and steadily after the first application. In six months</w:t>
      </w:r>
      <w:r w:rsidR="00133884">
        <w:rPr>
          <w:rFonts w:ascii="Arial" w:hAnsi="Arial" w:cs="Arial"/>
          <w:sz w:val="20"/>
          <w:szCs w:val="20"/>
        </w:rPr>
        <w:t>, all contaminants except vinyl chloride were remediated to the drinking water standard.  There was an unexplained rebound in vinyl chloride concentrations, but the concentration was reduced to acceptable levels that were maintained during quarterly post treatment monitoring.</w:t>
      </w:r>
      <w:r w:rsidR="00E61965">
        <w:rPr>
          <w:rFonts w:ascii="Arial" w:hAnsi="Arial" w:cs="Arial"/>
          <w:sz w:val="20"/>
          <w:szCs w:val="20"/>
        </w:rPr>
        <w:t xml:space="preserve"> </w:t>
      </w:r>
      <w:r w:rsidR="00A74900">
        <w:rPr>
          <w:rFonts w:ascii="Arial" w:hAnsi="Arial" w:cs="Arial"/>
          <w:sz w:val="20"/>
          <w:szCs w:val="20"/>
        </w:rPr>
        <w:t xml:space="preserve"> </w:t>
      </w:r>
      <w:r w:rsidR="00EF4967">
        <w:rPr>
          <w:rFonts w:ascii="Arial" w:hAnsi="Arial" w:cs="Arial"/>
          <w:sz w:val="20"/>
          <w:szCs w:val="20"/>
        </w:rPr>
        <w:t>The following table summarizes the ground water sampling results.</w:t>
      </w:r>
    </w:p>
    <w:p w:rsidR="00685A6C" w:rsidRDefault="00685A6C" w:rsidP="000B5795">
      <w:pPr>
        <w:jc w:val="both"/>
        <w:rPr>
          <w:rFonts w:ascii="Arial" w:hAnsi="Arial" w:cs="Arial"/>
          <w:sz w:val="20"/>
          <w:szCs w:val="20"/>
        </w:rPr>
      </w:pPr>
    </w:p>
    <w:tbl>
      <w:tblPr>
        <w:tblStyle w:val="TableGrid"/>
        <w:tblW w:w="0" w:type="auto"/>
        <w:tblLook w:val="04A0" w:firstRow="1" w:lastRow="0" w:firstColumn="1" w:lastColumn="0" w:noHBand="0" w:noVBand="1"/>
      </w:tblPr>
      <w:tblGrid>
        <w:gridCol w:w="1350"/>
        <w:gridCol w:w="1188"/>
        <w:gridCol w:w="1167"/>
        <w:gridCol w:w="1188"/>
        <w:gridCol w:w="1167"/>
        <w:gridCol w:w="1176"/>
        <w:gridCol w:w="1184"/>
        <w:gridCol w:w="1194"/>
        <w:gridCol w:w="1176"/>
      </w:tblGrid>
      <w:tr w:rsidR="00133884" w:rsidTr="00133884">
        <w:tc>
          <w:tcPr>
            <w:tcW w:w="1198" w:type="dxa"/>
          </w:tcPr>
          <w:p w:rsidR="00133884" w:rsidRDefault="00133884" w:rsidP="000B5795">
            <w:pPr>
              <w:jc w:val="both"/>
              <w:rPr>
                <w:rFonts w:ascii="Arial" w:hAnsi="Arial" w:cs="Arial"/>
                <w:sz w:val="20"/>
                <w:szCs w:val="20"/>
              </w:rPr>
            </w:pPr>
            <w:r>
              <w:rPr>
                <w:rFonts w:ascii="Arial" w:hAnsi="Arial" w:cs="Arial"/>
                <w:sz w:val="20"/>
                <w:szCs w:val="20"/>
              </w:rPr>
              <w:t>Contaminant</w:t>
            </w:r>
          </w:p>
        </w:tc>
        <w:tc>
          <w:tcPr>
            <w:tcW w:w="1199" w:type="dxa"/>
          </w:tcPr>
          <w:p w:rsidR="00133884" w:rsidRDefault="00133884" w:rsidP="000B5795">
            <w:pPr>
              <w:jc w:val="both"/>
              <w:rPr>
                <w:rFonts w:ascii="Arial" w:hAnsi="Arial" w:cs="Arial"/>
                <w:sz w:val="20"/>
                <w:szCs w:val="20"/>
              </w:rPr>
            </w:pPr>
            <w:r>
              <w:rPr>
                <w:rFonts w:ascii="Arial" w:hAnsi="Arial" w:cs="Arial"/>
                <w:sz w:val="20"/>
                <w:szCs w:val="20"/>
              </w:rPr>
              <w:t xml:space="preserve">Pre-treatment Sampling </w:t>
            </w:r>
          </w:p>
        </w:tc>
        <w:tc>
          <w:tcPr>
            <w:tcW w:w="1199" w:type="dxa"/>
          </w:tcPr>
          <w:p w:rsidR="00133884" w:rsidRDefault="00133884" w:rsidP="000B5795">
            <w:pPr>
              <w:jc w:val="both"/>
              <w:rPr>
                <w:rFonts w:ascii="Arial" w:hAnsi="Arial" w:cs="Arial"/>
                <w:sz w:val="20"/>
                <w:szCs w:val="20"/>
              </w:rPr>
            </w:pPr>
          </w:p>
        </w:tc>
        <w:tc>
          <w:tcPr>
            <w:tcW w:w="1199" w:type="dxa"/>
          </w:tcPr>
          <w:p w:rsidR="00133884" w:rsidRDefault="00133884" w:rsidP="00133884">
            <w:pPr>
              <w:jc w:val="both"/>
              <w:rPr>
                <w:rFonts w:ascii="Arial" w:hAnsi="Arial" w:cs="Arial"/>
                <w:sz w:val="20"/>
                <w:szCs w:val="20"/>
              </w:rPr>
            </w:pPr>
            <w:r>
              <w:rPr>
                <w:rFonts w:ascii="Arial" w:hAnsi="Arial" w:cs="Arial"/>
                <w:sz w:val="20"/>
                <w:szCs w:val="20"/>
              </w:rPr>
              <w:t xml:space="preserve">Progress Sampling </w:t>
            </w:r>
          </w:p>
        </w:tc>
        <w:tc>
          <w:tcPr>
            <w:tcW w:w="1199" w:type="dxa"/>
          </w:tcPr>
          <w:p w:rsidR="00133884" w:rsidRDefault="00133884" w:rsidP="000B5795">
            <w:pPr>
              <w:jc w:val="both"/>
              <w:rPr>
                <w:rFonts w:ascii="Arial" w:hAnsi="Arial" w:cs="Arial"/>
                <w:sz w:val="20"/>
                <w:szCs w:val="20"/>
              </w:rPr>
            </w:pPr>
          </w:p>
        </w:tc>
        <w:tc>
          <w:tcPr>
            <w:tcW w:w="1199" w:type="dxa"/>
          </w:tcPr>
          <w:p w:rsidR="00133884" w:rsidRDefault="00133884" w:rsidP="000B5795">
            <w:pPr>
              <w:jc w:val="both"/>
              <w:rPr>
                <w:rFonts w:ascii="Arial" w:hAnsi="Arial" w:cs="Arial"/>
                <w:sz w:val="20"/>
                <w:szCs w:val="20"/>
              </w:rPr>
            </w:pPr>
          </w:p>
        </w:tc>
        <w:tc>
          <w:tcPr>
            <w:tcW w:w="1199" w:type="dxa"/>
          </w:tcPr>
          <w:p w:rsidR="00133884" w:rsidRDefault="00133884" w:rsidP="000B5795">
            <w:pPr>
              <w:jc w:val="both"/>
              <w:rPr>
                <w:rFonts w:ascii="Arial" w:hAnsi="Arial" w:cs="Arial"/>
                <w:sz w:val="20"/>
                <w:szCs w:val="20"/>
              </w:rPr>
            </w:pPr>
          </w:p>
        </w:tc>
        <w:tc>
          <w:tcPr>
            <w:tcW w:w="1199" w:type="dxa"/>
          </w:tcPr>
          <w:p w:rsidR="00133884" w:rsidRDefault="00133884" w:rsidP="000B5795">
            <w:pPr>
              <w:jc w:val="both"/>
              <w:rPr>
                <w:rFonts w:ascii="Arial" w:hAnsi="Arial" w:cs="Arial"/>
                <w:sz w:val="20"/>
                <w:szCs w:val="20"/>
              </w:rPr>
            </w:pPr>
            <w:r>
              <w:rPr>
                <w:rFonts w:ascii="Arial" w:hAnsi="Arial" w:cs="Arial"/>
                <w:sz w:val="20"/>
                <w:szCs w:val="20"/>
              </w:rPr>
              <w:t>Post-Treatment Sampling</w:t>
            </w:r>
          </w:p>
        </w:tc>
        <w:tc>
          <w:tcPr>
            <w:tcW w:w="1199" w:type="dxa"/>
          </w:tcPr>
          <w:p w:rsidR="00133884" w:rsidRDefault="00133884" w:rsidP="000B5795">
            <w:pPr>
              <w:jc w:val="both"/>
              <w:rPr>
                <w:rFonts w:ascii="Arial" w:hAnsi="Arial" w:cs="Arial"/>
                <w:sz w:val="20"/>
                <w:szCs w:val="20"/>
              </w:rPr>
            </w:pPr>
          </w:p>
        </w:tc>
      </w:tr>
      <w:tr w:rsidR="00133884" w:rsidTr="00133884">
        <w:tc>
          <w:tcPr>
            <w:tcW w:w="1198" w:type="dxa"/>
          </w:tcPr>
          <w:p w:rsidR="00133884" w:rsidRDefault="00133884" w:rsidP="000B5795">
            <w:pPr>
              <w:jc w:val="both"/>
              <w:rPr>
                <w:rFonts w:ascii="Arial" w:hAnsi="Arial" w:cs="Arial"/>
                <w:sz w:val="20"/>
                <w:szCs w:val="20"/>
              </w:rPr>
            </w:pPr>
          </w:p>
        </w:tc>
        <w:tc>
          <w:tcPr>
            <w:tcW w:w="1199" w:type="dxa"/>
          </w:tcPr>
          <w:p w:rsidR="00133884" w:rsidRDefault="00133884" w:rsidP="000B5795">
            <w:pPr>
              <w:jc w:val="both"/>
              <w:rPr>
                <w:rFonts w:ascii="Arial" w:hAnsi="Arial" w:cs="Arial"/>
                <w:sz w:val="20"/>
                <w:szCs w:val="20"/>
              </w:rPr>
            </w:pPr>
            <w:r>
              <w:rPr>
                <w:rFonts w:ascii="Arial" w:hAnsi="Arial" w:cs="Arial"/>
                <w:sz w:val="20"/>
                <w:szCs w:val="20"/>
              </w:rPr>
              <w:t>2/20/01</w:t>
            </w:r>
          </w:p>
        </w:tc>
        <w:tc>
          <w:tcPr>
            <w:tcW w:w="1199" w:type="dxa"/>
          </w:tcPr>
          <w:p w:rsidR="00133884" w:rsidRDefault="00133884" w:rsidP="000B5795">
            <w:pPr>
              <w:jc w:val="both"/>
              <w:rPr>
                <w:rFonts w:ascii="Arial" w:hAnsi="Arial" w:cs="Arial"/>
                <w:sz w:val="20"/>
                <w:szCs w:val="20"/>
              </w:rPr>
            </w:pPr>
            <w:r>
              <w:rPr>
                <w:rFonts w:ascii="Arial" w:hAnsi="Arial" w:cs="Arial"/>
                <w:sz w:val="20"/>
                <w:szCs w:val="20"/>
              </w:rPr>
              <w:t>2/9/01</w:t>
            </w:r>
          </w:p>
        </w:tc>
        <w:tc>
          <w:tcPr>
            <w:tcW w:w="1199" w:type="dxa"/>
          </w:tcPr>
          <w:p w:rsidR="00133884" w:rsidRDefault="00133884" w:rsidP="000B5795">
            <w:pPr>
              <w:jc w:val="both"/>
              <w:rPr>
                <w:rFonts w:ascii="Arial" w:hAnsi="Arial" w:cs="Arial"/>
                <w:sz w:val="20"/>
                <w:szCs w:val="20"/>
              </w:rPr>
            </w:pPr>
            <w:r>
              <w:rPr>
                <w:rFonts w:ascii="Arial" w:hAnsi="Arial" w:cs="Arial"/>
                <w:sz w:val="20"/>
                <w:szCs w:val="20"/>
              </w:rPr>
              <w:t>3/</w:t>
            </w:r>
            <w:r w:rsidR="00B25244">
              <w:rPr>
                <w:rFonts w:ascii="Arial" w:hAnsi="Arial" w:cs="Arial"/>
                <w:sz w:val="20"/>
                <w:szCs w:val="20"/>
              </w:rPr>
              <w:t>2</w:t>
            </w:r>
            <w:r>
              <w:rPr>
                <w:rFonts w:ascii="Arial" w:hAnsi="Arial" w:cs="Arial"/>
                <w:sz w:val="20"/>
                <w:szCs w:val="20"/>
              </w:rPr>
              <w:t>2/01</w:t>
            </w:r>
          </w:p>
        </w:tc>
        <w:tc>
          <w:tcPr>
            <w:tcW w:w="1199" w:type="dxa"/>
          </w:tcPr>
          <w:p w:rsidR="00133884" w:rsidRDefault="00133884" w:rsidP="000B5795">
            <w:pPr>
              <w:jc w:val="both"/>
              <w:rPr>
                <w:rFonts w:ascii="Arial" w:hAnsi="Arial" w:cs="Arial"/>
                <w:sz w:val="20"/>
                <w:szCs w:val="20"/>
              </w:rPr>
            </w:pPr>
            <w:r>
              <w:rPr>
                <w:rFonts w:ascii="Arial" w:hAnsi="Arial" w:cs="Arial"/>
                <w:sz w:val="20"/>
                <w:szCs w:val="20"/>
              </w:rPr>
              <w:t>6/1/01</w:t>
            </w:r>
          </w:p>
        </w:tc>
        <w:tc>
          <w:tcPr>
            <w:tcW w:w="1199" w:type="dxa"/>
          </w:tcPr>
          <w:p w:rsidR="00133884" w:rsidRDefault="00133884" w:rsidP="000B5795">
            <w:pPr>
              <w:jc w:val="both"/>
              <w:rPr>
                <w:rFonts w:ascii="Arial" w:hAnsi="Arial" w:cs="Arial"/>
                <w:sz w:val="20"/>
                <w:szCs w:val="20"/>
              </w:rPr>
            </w:pPr>
            <w:r>
              <w:rPr>
                <w:rFonts w:ascii="Arial" w:hAnsi="Arial" w:cs="Arial"/>
                <w:sz w:val="20"/>
                <w:szCs w:val="20"/>
              </w:rPr>
              <w:t>8/21/01</w:t>
            </w:r>
          </w:p>
        </w:tc>
        <w:tc>
          <w:tcPr>
            <w:tcW w:w="1199" w:type="dxa"/>
          </w:tcPr>
          <w:p w:rsidR="00133884" w:rsidRDefault="00133884" w:rsidP="000B5795">
            <w:pPr>
              <w:jc w:val="both"/>
              <w:rPr>
                <w:rFonts w:ascii="Arial" w:hAnsi="Arial" w:cs="Arial"/>
                <w:sz w:val="20"/>
                <w:szCs w:val="20"/>
              </w:rPr>
            </w:pPr>
            <w:r>
              <w:rPr>
                <w:rFonts w:ascii="Arial" w:hAnsi="Arial" w:cs="Arial"/>
                <w:sz w:val="20"/>
                <w:szCs w:val="20"/>
              </w:rPr>
              <w:t>10/16/01</w:t>
            </w:r>
          </w:p>
        </w:tc>
        <w:tc>
          <w:tcPr>
            <w:tcW w:w="1199" w:type="dxa"/>
          </w:tcPr>
          <w:p w:rsidR="00133884" w:rsidRDefault="00133884" w:rsidP="000B5795">
            <w:pPr>
              <w:jc w:val="both"/>
              <w:rPr>
                <w:rFonts w:ascii="Arial" w:hAnsi="Arial" w:cs="Arial"/>
                <w:sz w:val="20"/>
                <w:szCs w:val="20"/>
              </w:rPr>
            </w:pPr>
            <w:r>
              <w:rPr>
                <w:rFonts w:ascii="Arial" w:hAnsi="Arial" w:cs="Arial"/>
                <w:sz w:val="20"/>
                <w:szCs w:val="20"/>
              </w:rPr>
              <w:t>12/11/01</w:t>
            </w:r>
          </w:p>
        </w:tc>
        <w:tc>
          <w:tcPr>
            <w:tcW w:w="1199" w:type="dxa"/>
          </w:tcPr>
          <w:p w:rsidR="00133884" w:rsidRDefault="00133884" w:rsidP="000B5795">
            <w:pPr>
              <w:jc w:val="both"/>
              <w:rPr>
                <w:rFonts w:ascii="Arial" w:hAnsi="Arial" w:cs="Arial"/>
                <w:sz w:val="20"/>
                <w:szCs w:val="20"/>
              </w:rPr>
            </w:pPr>
            <w:r>
              <w:rPr>
                <w:rFonts w:ascii="Arial" w:hAnsi="Arial" w:cs="Arial"/>
                <w:sz w:val="20"/>
                <w:szCs w:val="20"/>
              </w:rPr>
              <w:t>2/28/01</w:t>
            </w:r>
          </w:p>
        </w:tc>
      </w:tr>
      <w:tr w:rsidR="00133884" w:rsidTr="00133884">
        <w:tc>
          <w:tcPr>
            <w:tcW w:w="1198" w:type="dxa"/>
          </w:tcPr>
          <w:p w:rsidR="00133884" w:rsidRDefault="00133884" w:rsidP="000B5795">
            <w:pPr>
              <w:jc w:val="both"/>
              <w:rPr>
                <w:rFonts w:ascii="Arial" w:hAnsi="Arial" w:cs="Arial"/>
                <w:sz w:val="20"/>
                <w:szCs w:val="20"/>
              </w:rPr>
            </w:pPr>
            <w:r>
              <w:rPr>
                <w:rFonts w:ascii="Arial" w:hAnsi="Arial" w:cs="Arial"/>
                <w:sz w:val="20"/>
                <w:szCs w:val="20"/>
              </w:rPr>
              <w:t>1,1,1-TCA</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2.7</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1.3</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1.4</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0.62</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0.086</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0.015</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0.015</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0.007</w:t>
            </w:r>
          </w:p>
        </w:tc>
      </w:tr>
      <w:tr w:rsidR="00133884" w:rsidTr="00133884">
        <w:tc>
          <w:tcPr>
            <w:tcW w:w="1198" w:type="dxa"/>
          </w:tcPr>
          <w:p w:rsidR="00133884" w:rsidRDefault="00133884" w:rsidP="000B5795">
            <w:pPr>
              <w:jc w:val="both"/>
              <w:rPr>
                <w:rFonts w:ascii="Arial" w:hAnsi="Arial" w:cs="Arial"/>
                <w:sz w:val="20"/>
                <w:szCs w:val="20"/>
              </w:rPr>
            </w:pPr>
            <w:r>
              <w:rPr>
                <w:rFonts w:ascii="Arial" w:hAnsi="Arial" w:cs="Arial"/>
                <w:sz w:val="20"/>
                <w:szCs w:val="20"/>
              </w:rPr>
              <w:t>PCE</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0.11</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0.19</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0.92</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0.010</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BDL</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BDL</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BDL</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BDL</w:t>
            </w:r>
          </w:p>
        </w:tc>
      </w:tr>
      <w:tr w:rsidR="00133884" w:rsidTr="00133884">
        <w:tc>
          <w:tcPr>
            <w:tcW w:w="1198" w:type="dxa"/>
          </w:tcPr>
          <w:p w:rsidR="00133884" w:rsidRDefault="00133884" w:rsidP="000B5795">
            <w:pPr>
              <w:jc w:val="both"/>
              <w:rPr>
                <w:rFonts w:ascii="Arial" w:hAnsi="Arial" w:cs="Arial"/>
                <w:sz w:val="20"/>
                <w:szCs w:val="20"/>
              </w:rPr>
            </w:pPr>
            <w:r>
              <w:rPr>
                <w:rFonts w:ascii="Arial" w:hAnsi="Arial" w:cs="Arial"/>
                <w:sz w:val="20"/>
                <w:szCs w:val="20"/>
              </w:rPr>
              <w:t>TCE</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0.58</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0.26</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0.068</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0.012</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BDL</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BDL</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BDL</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BDL</w:t>
            </w:r>
          </w:p>
        </w:tc>
      </w:tr>
      <w:tr w:rsidR="00133884" w:rsidTr="00133884">
        <w:tc>
          <w:tcPr>
            <w:tcW w:w="1198" w:type="dxa"/>
          </w:tcPr>
          <w:p w:rsidR="00133884" w:rsidRDefault="00133884" w:rsidP="000B5795">
            <w:pPr>
              <w:jc w:val="both"/>
              <w:rPr>
                <w:rFonts w:ascii="Arial" w:hAnsi="Arial" w:cs="Arial"/>
                <w:sz w:val="20"/>
                <w:szCs w:val="20"/>
              </w:rPr>
            </w:pPr>
            <w:r>
              <w:rPr>
                <w:rFonts w:ascii="Arial" w:hAnsi="Arial" w:cs="Arial"/>
                <w:sz w:val="20"/>
                <w:szCs w:val="20"/>
              </w:rPr>
              <w:t>c-1,2-DCE</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2.9</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5.9</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4.7</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2.8</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0.19</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0.010</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0.091</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BDL</w:t>
            </w:r>
          </w:p>
        </w:tc>
      </w:tr>
      <w:tr w:rsidR="00133884" w:rsidTr="00133884">
        <w:tc>
          <w:tcPr>
            <w:tcW w:w="1198" w:type="dxa"/>
          </w:tcPr>
          <w:p w:rsidR="00133884" w:rsidRDefault="00133884" w:rsidP="000B5795">
            <w:pPr>
              <w:jc w:val="both"/>
              <w:rPr>
                <w:rFonts w:ascii="Arial" w:hAnsi="Arial" w:cs="Arial"/>
                <w:sz w:val="20"/>
                <w:szCs w:val="20"/>
              </w:rPr>
            </w:pPr>
            <w:r>
              <w:rPr>
                <w:rFonts w:ascii="Arial" w:hAnsi="Arial" w:cs="Arial"/>
                <w:sz w:val="20"/>
                <w:szCs w:val="20"/>
              </w:rPr>
              <w:t>1,1-DCA</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0.12</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0.38</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0.28</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0.19</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0.15</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0.066</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0.059</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0.038</w:t>
            </w:r>
          </w:p>
        </w:tc>
      </w:tr>
      <w:tr w:rsidR="00133884" w:rsidTr="00133884">
        <w:tc>
          <w:tcPr>
            <w:tcW w:w="1198" w:type="dxa"/>
          </w:tcPr>
          <w:p w:rsidR="00133884" w:rsidRDefault="00B25244" w:rsidP="000B5795">
            <w:pPr>
              <w:jc w:val="both"/>
              <w:rPr>
                <w:rFonts w:ascii="Arial" w:hAnsi="Arial" w:cs="Arial"/>
                <w:sz w:val="20"/>
                <w:szCs w:val="20"/>
              </w:rPr>
            </w:pPr>
            <w:r>
              <w:rPr>
                <w:rFonts w:ascii="Arial" w:hAnsi="Arial" w:cs="Arial"/>
                <w:sz w:val="20"/>
                <w:szCs w:val="20"/>
              </w:rPr>
              <w:t>VC</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0.17</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0.34</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0.11</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0.57</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0.10</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0.008</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0.1</w:t>
            </w:r>
          </w:p>
        </w:tc>
        <w:tc>
          <w:tcPr>
            <w:tcW w:w="1199" w:type="dxa"/>
          </w:tcPr>
          <w:p w:rsidR="00133884" w:rsidRDefault="00B25244" w:rsidP="000B5795">
            <w:pPr>
              <w:jc w:val="both"/>
              <w:rPr>
                <w:rFonts w:ascii="Arial" w:hAnsi="Arial" w:cs="Arial"/>
                <w:sz w:val="20"/>
                <w:szCs w:val="20"/>
              </w:rPr>
            </w:pPr>
            <w:r>
              <w:rPr>
                <w:rFonts w:ascii="Arial" w:hAnsi="Arial" w:cs="Arial"/>
                <w:sz w:val="20"/>
                <w:szCs w:val="20"/>
              </w:rPr>
              <w:t>BDL</w:t>
            </w:r>
          </w:p>
        </w:tc>
      </w:tr>
    </w:tbl>
    <w:p w:rsidR="00133884" w:rsidRPr="0032594C" w:rsidRDefault="00133884" w:rsidP="000B5795">
      <w:pPr>
        <w:jc w:val="both"/>
        <w:rPr>
          <w:rFonts w:ascii="Arial" w:hAnsi="Arial" w:cs="Arial"/>
          <w:sz w:val="20"/>
          <w:szCs w:val="20"/>
        </w:rPr>
      </w:pPr>
    </w:p>
    <w:p w:rsidR="000B5795" w:rsidRPr="00EF4967" w:rsidRDefault="000B5795" w:rsidP="000B5795">
      <w:pPr>
        <w:rPr>
          <w:rFonts w:ascii="Arial" w:hAnsi="Arial" w:cs="Arial"/>
          <w:b/>
          <w:bCs/>
          <w:iCs/>
          <w:sz w:val="18"/>
          <w:szCs w:val="18"/>
        </w:rPr>
      </w:pPr>
    </w:p>
    <w:p w:rsidR="0032594C" w:rsidRPr="008F512D" w:rsidRDefault="000B5795" w:rsidP="000B5795">
      <w:pPr>
        <w:jc w:val="both"/>
        <w:rPr>
          <w:rFonts w:ascii="Arial" w:hAnsi="Arial" w:cs="Arial"/>
          <w:sz w:val="20"/>
          <w:szCs w:val="20"/>
        </w:rPr>
      </w:pPr>
      <w:r w:rsidRPr="008F512D">
        <w:rPr>
          <w:rFonts w:ascii="Arial" w:hAnsi="Arial" w:cs="Arial"/>
          <w:sz w:val="20"/>
          <w:szCs w:val="20"/>
        </w:rPr>
        <w:lastRenderedPageBreak/>
        <w:t xml:space="preserve">The treatment was successful in reducing the </w:t>
      </w:r>
      <w:r w:rsidR="00EF4967" w:rsidRPr="008F512D">
        <w:rPr>
          <w:rFonts w:ascii="Arial" w:hAnsi="Arial" w:cs="Arial"/>
          <w:sz w:val="20"/>
          <w:szCs w:val="20"/>
        </w:rPr>
        <w:t xml:space="preserve">concentrations of </w:t>
      </w:r>
      <w:r w:rsidR="00B25244">
        <w:rPr>
          <w:rFonts w:ascii="Arial" w:hAnsi="Arial" w:cs="Arial"/>
          <w:sz w:val="20"/>
          <w:szCs w:val="20"/>
        </w:rPr>
        <w:t xml:space="preserve">a range of chlorinated solvents </w:t>
      </w:r>
      <w:r w:rsidR="00EF4967" w:rsidRPr="008F512D">
        <w:rPr>
          <w:rFonts w:ascii="Arial" w:hAnsi="Arial" w:cs="Arial"/>
          <w:sz w:val="20"/>
          <w:szCs w:val="20"/>
        </w:rPr>
        <w:t xml:space="preserve">in the source area and down gradient plume.  </w:t>
      </w:r>
      <w:r w:rsidR="008F512D">
        <w:rPr>
          <w:rFonts w:ascii="Arial" w:hAnsi="Arial" w:cs="Arial"/>
          <w:sz w:val="20"/>
          <w:szCs w:val="20"/>
        </w:rPr>
        <w:t xml:space="preserve">Overall, the application of bioremediation </w:t>
      </w:r>
      <w:r w:rsidR="00B25244">
        <w:rPr>
          <w:rFonts w:ascii="Arial" w:hAnsi="Arial" w:cs="Arial"/>
          <w:sz w:val="20"/>
          <w:szCs w:val="20"/>
        </w:rPr>
        <w:t>achieved the remediation goals quickly and cost effectively making the property redevelopment possible.</w:t>
      </w:r>
      <w:bookmarkStart w:id="2" w:name="_GoBack"/>
      <w:bookmarkEnd w:id="2"/>
    </w:p>
    <w:p w:rsidR="005E7115" w:rsidRPr="0032594C" w:rsidRDefault="000B5795" w:rsidP="000B5795">
      <w:pPr>
        <w:jc w:val="both"/>
        <w:rPr>
          <w:rFonts w:ascii="Arial" w:hAnsi="Arial" w:cs="Arial"/>
          <w:b/>
          <w:sz w:val="20"/>
          <w:szCs w:val="20"/>
        </w:rPr>
      </w:pPr>
      <w:r w:rsidRPr="008F512D">
        <w:rPr>
          <w:rFonts w:ascii="Arial" w:hAnsi="Arial" w:cs="Arial"/>
          <w:sz w:val="20"/>
          <w:szCs w:val="20"/>
        </w:rPr>
        <w:t xml:space="preserve"> </w:t>
      </w:r>
    </w:p>
    <w:p w:rsidR="005E7115" w:rsidRDefault="005E7115" w:rsidP="000B5795">
      <w:pPr>
        <w:autoSpaceDE w:val="0"/>
        <w:autoSpaceDN w:val="0"/>
        <w:adjustRightInd w:val="0"/>
        <w:jc w:val="center"/>
        <w:rPr>
          <w:rFonts w:ascii="Arial" w:hAnsi="Arial" w:cs="Lucida Sans Unicode"/>
          <w:b/>
          <w:sz w:val="22"/>
          <w:szCs w:val="20"/>
        </w:rPr>
      </w:pPr>
      <w:r>
        <w:rPr>
          <w:rFonts w:ascii="Arial" w:hAnsi="Arial" w:cs="Lucida Sans Unicode"/>
          <w:b/>
          <w:sz w:val="22"/>
          <w:szCs w:val="20"/>
        </w:rPr>
        <w:t>CL Solutions, LLC</w:t>
      </w:r>
    </w:p>
    <w:p w:rsidR="005E7115" w:rsidRPr="005E7115" w:rsidRDefault="005E7115" w:rsidP="000B5795">
      <w:pPr>
        <w:autoSpaceDE w:val="0"/>
        <w:autoSpaceDN w:val="0"/>
        <w:adjustRightInd w:val="0"/>
        <w:jc w:val="center"/>
        <w:rPr>
          <w:rFonts w:ascii="Arial" w:hAnsi="Arial" w:cs="Lucida Sans Unicode"/>
          <w:b/>
          <w:sz w:val="18"/>
          <w:szCs w:val="18"/>
        </w:rPr>
      </w:pPr>
      <w:r w:rsidRPr="005E7115">
        <w:rPr>
          <w:rFonts w:ascii="Arial" w:hAnsi="Arial" w:cs="Lucida Sans Unicode"/>
          <w:b/>
          <w:sz w:val="18"/>
          <w:szCs w:val="18"/>
        </w:rPr>
        <w:t xml:space="preserve">Cincinnati, Ohio </w:t>
      </w:r>
    </w:p>
    <w:p w:rsidR="005E7115" w:rsidRDefault="005E7115" w:rsidP="000B5795">
      <w:pPr>
        <w:autoSpaceDE w:val="0"/>
        <w:autoSpaceDN w:val="0"/>
        <w:adjustRightInd w:val="0"/>
        <w:jc w:val="center"/>
        <w:rPr>
          <w:rFonts w:ascii="Arial" w:hAnsi="Arial" w:cs="Lucida Sans Unicode"/>
          <w:b/>
          <w:sz w:val="18"/>
          <w:szCs w:val="18"/>
        </w:rPr>
      </w:pPr>
      <w:proofErr w:type="spellStart"/>
      <w:r w:rsidRPr="005E7115">
        <w:rPr>
          <w:rFonts w:ascii="Arial" w:hAnsi="Arial" w:cs="Lucida Sans Unicode"/>
          <w:b/>
          <w:sz w:val="18"/>
          <w:szCs w:val="18"/>
        </w:rPr>
        <w:t>Ph</w:t>
      </w:r>
      <w:proofErr w:type="spellEnd"/>
      <w:r w:rsidRPr="005E7115">
        <w:rPr>
          <w:rFonts w:ascii="Arial" w:hAnsi="Arial" w:cs="Lucida Sans Unicode"/>
          <w:b/>
          <w:sz w:val="18"/>
          <w:szCs w:val="18"/>
        </w:rPr>
        <w:t xml:space="preserve"> 513-475-6625</w:t>
      </w:r>
    </w:p>
    <w:p w:rsidR="005E7115" w:rsidRPr="005E7115" w:rsidRDefault="005E7115" w:rsidP="000B5795">
      <w:pPr>
        <w:autoSpaceDE w:val="0"/>
        <w:autoSpaceDN w:val="0"/>
        <w:adjustRightInd w:val="0"/>
        <w:jc w:val="center"/>
        <w:rPr>
          <w:rFonts w:ascii="Arial" w:hAnsi="Arial" w:cs="Lucida Sans Unicode"/>
          <w:b/>
          <w:sz w:val="18"/>
          <w:szCs w:val="18"/>
        </w:rPr>
      </w:pPr>
    </w:p>
    <w:p w:rsidR="005E7115" w:rsidRDefault="008D1B90" w:rsidP="000B5795">
      <w:pPr>
        <w:autoSpaceDE w:val="0"/>
        <w:autoSpaceDN w:val="0"/>
        <w:adjustRightInd w:val="0"/>
        <w:jc w:val="center"/>
        <w:rPr>
          <w:rFonts w:ascii="Arial" w:hAnsi="Arial" w:cs="Lucida Sans Unicode"/>
          <w:b/>
          <w:sz w:val="22"/>
          <w:szCs w:val="20"/>
        </w:rPr>
      </w:pPr>
      <w:hyperlink r:id="rId7" w:history="1">
        <w:r w:rsidR="005E7115" w:rsidRPr="00847976">
          <w:rPr>
            <w:rStyle w:val="Hyperlink"/>
            <w:rFonts w:ascii="Arial" w:hAnsi="Arial" w:cs="Lucida Sans Unicode"/>
            <w:b/>
            <w:sz w:val="22"/>
            <w:szCs w:val="20"/>
          </w:rPr>
          <w:t>www.cl-solutions.com</w:t>
        </w:r>
      </w:hyperlink>
    </w:p>
    <w:p w:rsidR="000B5795" w:rsidRPr="005E7115" w:rsidRDefault="0032594C" w:rsidP="000B5795">
      <w:pPr>
        <w:autoSpaceDE w:val="0"/>
        <w:autoSpaceDN w:val="0"/>
        <w:adjustRightInd w:val="0"/>
        <w:jc w:val="center"/>
        <w:rPr>
          <w:rFonts w:ascii="Arial" w:hAnsi="Arial" w:cs="Lucida Sans Unicode"/>
          <w:b/>
          <w:sz w:val="16"/>
          <w:szCs w:val="16"/>
        </w:rPr>
      </w:pPr>
      <w:r w:rsidRPr="005E7115">
        <w:rPr>
          <w:rFonts w:ascii="Arial" w:hAnsi="Arial" w:cs="Lucida Sans Unicode"/>
          <w:b/>
          <w:sz w:val="16"/>
          <w:szCs w:val="16"/>
        </w:rPr>
        <w:t>©</w:t>
      </w:r>
      <w:r w:rsidR="00593B8E" w:rsidRPr="005E7115">
        <w:rPr>
          <w:rFonts w:ascii="Arial" w:hAnsi="Arial" w:cs="Lucida Sans Unicode"/>
          <w:b/>
          <w:sz w:val="16"/>
          <w:szCs w:val="16"/>
        </w:rPr>
        <w:t>CL Solutions</w:t>
      </w:r>
      <w:r w:rsidRPr="005E7115">
        <w:rPr>
          <w:rFonts w:ascii="Arial" w:hAnsi="Arial" w:cs="Lucida Sans Unicode"/>
          <w:b/>
          <w:sz w:val="16"/>
          <w:szCs w:val="16"/>
        </w:rPr>
        <w:t>, 201</w:t>
      </w:r>
      <w:r w:rsidR="008F512D" w:rsidRPr="005E7115">
        <w:rPr>
          <w:rFonts w:ascii="Arial" w:hAnsi="Arial" w:cs="Lucida Sans Unicode"/>
          <w:b/>
          <w:sz w:val="16"/>
          <w:szCs w:val="16"/>
        </w:rPr>
        <w:t>6</w:t>
      </w:r>
    </w:p>
    <w:sectPr w:rsidR="000B5795" w:rsidRPr="005E7115" w:rsidSect="001420C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90" w:rsidRDefault="008D1B90" w:rsidP="00BA0FA9">
      <w:r>
        <w:separator/>
      </w:r>
    </w:p>
  </w:endnote>
  <w:endnote w:type="continuationSeparator" w:id="0">
    <w:p w:rsidR="008D1B90" w:rsidRDefault="008D1B90" w:rsidP="00BA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90" w:rsidRDefault="008D1B90" w:rsidP="00BA0FA9">
      <w:r>
        <w:separator/>
      </w:r>
    </w:p>
  </w:footnote>
  <w:footnote w:type="continuationSeparator" w:id="0">
    <w:p w:rsidR="008D1B90" w:rsidRDefault="008D1B90" w:rsidP="00BA0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FA9" w:rsidRDefault="000B5795">
    <w:pPr>
      <w:pStyle w:val="Header"/>
    </w:pPr>
    <w:r w:rsidRPr="000B5795">
      <w:rPr>
        <w:rFonts w:ascii="Arial" w:hAnsi="Arial" w:cs="Arial"/>
        <w:b/>
        <w:noProof/>
        <w:sz w:val="48"/>
        <w:szCs w:val="48"/>
      </w:rPr>
      <mc:AlternateContent>
        <mc:Choice Requires="wps">
          <w:drawing>
            <wp:anchor distT="0" distB="0" distL="114300" distR="114300" simplePos="0" relativeHeight="251659264" behindDoc="0" locked="0" layoutInCell="1" allowOverlap="1" wp14:anchorId="0F8F10A0" wp14:editId="7E7D9340">
              <wp:simplePos x="0" y="0"/>
              <wp:positionH relativeFrom="column">
                <wp:posOffset>975360</wp:posOffset>
              </wp:positionH>
              <wp:positionV relativeFrom="paragraph">
                <wp:posOffset>121920</wp:posOffset>
              </wp:positionV>
              <wp:extent cx="59893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3985"/>
                      </a:xfrm>
                      <a:prstGeom prst="rect">
                        <a:avLst/>
                      </a:prstGeom>
                      <a:solidFill>
                        <a:srgbClr val="FFFFFF"/>
                      </a:solidFill>
                      <a:ln w="9525">
                        <a:noFill/>
                        <a:miter lim="800000"/>
                        <a:headEnd/>
                        <a:tailEnd/>
                      </a:ln>
                    </wps:spPr>
                    <wps:txbx>
                      <w:txbxContent>
                        <w:p w:rsidR="000B5795" w:rsidRPr="00593B8E" w:rsidRDefault="009C6648">
                          <w:pPr>
                            <w:rPr>
                              <w:rFonts w:ascii="Arial" w:hAnsi="Arial" w:cs="Arial"/>
                              <w:b/>
                              <w:sz w:val="40"/>
                              <w:szCs w:val="40"/>
                            </w:rPr>
                          </w:pPr>
                          <w:r>
                            <w:rPr>
                              <w:rFonts w:ascii="Arial" w:hAnsi="Arial" w:cs="Arial"/>
                              <w:b/>
                              <w:sz w:val="40"/>
                              <w:szCs w:val="40"/>
                            </w:rPr>
                            <w:t xml:space="preserve">Mixed Solvent Contamination Plume </w:t>
                          </w:r>
                          <w:r w:rsidR="007043EB">
                            <w:rPr>
                              <w:rFonts w:ascii="Arial" w:hAnsi="Arial" w:cs="Arial"/>
                              <w:b/>
                              <w:sz w:val="40"/>
                              <w:szCs w:val="40"/>
                            </w:rPr>
                            <w:t xml:space="preserve"> </w:t>
                          </w:r>
                          <w:r w:rsidR="00DA61EF" w:rsidRPr="00593B8E">
                            <w:rPr>
                              <w:rFonts w:ascii="Arial" w:hAnsi="Arial" w:cs="Arial"/>
                              <w:b/>
                              <w:sz w:val="40"/>
                              <w:szCs w:val="40"/>
                            </w:rPr>
                            <w:t xml:space="preserve"> Bior</w:t>
                          </w:r>
                          <w:r w:rsidR="001420C2" w:rsidRPr="00593B8E">
                            <w:rPr>
                              <w:rFonts w:ascii="Arial" w:hAnsi="Arial" w:cs="Arial"/>
                              <w:b/>
                              <w:sz w:val="40"/>
                              <w:szCs w:val="40"/>
                            </w:rPr>
                            <w:t xml:space="preserve">emediation with </w:t>
                          </w:r>
                          <w:r w:rsidR="007043EB">
                            <w:rPr>
                              <w:rFonts w:ascii="Arial" w:hAnsi="Arial" w:cs="Arial"/>
                              <w:b/>
                              <w:sz w:val="40"/>
                              <w:szCs w:val="40"/>
                            </w:rPr>
                            <w:t>CL-Out</w:t>
                          </w:r>
                          <w:r w:rsidR="002739C2" w:rsidRPr="00593B8E">
                            <w:rPr>
                              <w:rFonts w:ascii="Arial" w:hAnsi="Arial" w:cs="Arial"/>
                              <w:b/>
                              <w:sz w:val="40"/>
                              <w:szCs w:val="40"/>
                              <w:vertAlign w:val="superscript"/>
                            </w:rPr>
                            <w:t>®</w:t>
                          </w:r>
                          <w:r w:rsidR="000B5795" w:rsidRPr="00593B8E">
                            <w:rPr>
                              <w:rFonts w:ascii="Arial" w:hAnsi="Arial" w:cs="Arial"/>
                              <w:b/>
                              <w:sz w:val="40"/>
                              <w:szCs w:val="40"/>
                            </w:rPr>
                            <w:t xml:space="preserve"> </w:t>
                          </w:r>
                        </w:p>
                        <w:p w:rsidR="001420C2" w:rsidRPr="00593B8E" w:rsidRDefault="001420C2">
                          <w:pPr>
                            <w:rPr>
                              <w:rFonts w:ascii="Arial" w:hAnsi="Arial" w:cs="Arial"/>
                              <w:b/>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8F10A0" id="_x0000_t202" coordsize="21600,21600" o:spt="202" path="m,l,21600r21600,l21600,xe">
              <v:stroke joinstyle="miter"/>
              <v:path gradientshapeok="t" o:connecttype="rect"/>
            </v:shapetype>
            <v:shape id="Text Box 2" o:spid="_x0000_s1026" type="#_x0000_t202" style="position:absolute;margin-left:76.8pt;margin-top:9.6pt;width:471.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" stroked="f">
              <v:textbox style="mso-fit-shape-to-text:t">
                <w:txbxContent>
                  <w:p w:rsidR="000B5795" w:rsidRPr="00593B8E" w:rsidRDefault="009C6648">
                    <w:pPr>
                      <w:rPr>
                        <w:rFonts w:ascii="Arial" w:hAnsi="Arial" w:cs="Arial"/>
                        <w:b/>
                        <w:sz w:val="40"/>
                        <w:szCs w:val="40"/>
                      </w:rPr>
                    </w:pPr>
                    <w:r>
                      <w:rPr>
                        <w:rFonts w:ascii="Arial" w:hAnsi="Arial" w:cs="Arial"/>
                        <w:b/>
                        <w:sz w:val="40"/>
                        <w:szCs w:val="40"/>
                      </w:rPr>
                      <w:t xml:space="preserve">Mixed Solvent Contamination Plume </w:t>
                    </w:r>
                    <w:r w:rsidR="007043EB">
                      <w:rPr>
                        <w:rFonts w:ascii="Arial" w:hAnsi="Arial" w:cs="Arial"/>
                        <w:b/>
                        <w:sz w:val="40"/>
                        <w:szCs w:val="40"/>
                      </w:rPr>
                      <w:t xml:space="preserve"> </w:t>
                    </w:r>
                    <w:r w:rsidR="00DA61EF" w:rsidRPr="00593B8E">
                      <w:rPr>
                        <w:rFonts w:ascii="Arial" w:hAnsi="Arial" w:cs="Arial"/>
                        <w:b/>
                        <w:sz w:val="40"/>
                        <w:szCs w:val="40"/>
                      </w:rPr>
                      <w:t xml:space="preserve"> Bior</w:t>
                    </w:r>
                    <w:r w:rsidR="001420C2" w:rsidRPr="00593B8E">
                      <w:rPr>
                        <w:rFonts w:ascii="Arial" w:hAnsi="Arial" w:cs="Arial"/>
                        <w:b/>
                        <w:sz w:val="40"/>
                        <w:szCs w:val="40"/>
                      </w:rPr>
                      <w:t xml:space="preserve">emediation with </w:t>
                    </w:r>
                    <w:r w:rsidR="007043EB">
                      <w:rPr>
                        <w:rFonts w:ascii="Arial" w:hAnsi="Arial" w:cs="Arial"/>
                        <w:b/>
                        <w:sz w:val="40"/>
                        <w:szCs w:val="40"/>
                      </w:rPr>
                      <w:t>CL-Out</w:t>
                    </w:r>
                    <w:r w:rsidR="002739C2" w:rsidRPr="00593B8E">
                      <w:rPr>
                        <w:rFonts w:ascii="Arial" w:hAnsi="Arial" w:cs="Arial"/>
                        <w:b/>
                        <w:sz w:val="40"/>
                        <w:szCs w:val="40"/>
                        <w:vertAlign w:val="superscript"/>
                      </w:rPr>
                      <w:t>®</w:t>
                    </w:r>
                    <w:r w:rsidR="000B5795" w:rsidRPr="00593B8E">
                      <w:rPr>
                        <w:rFonts w:ascii="Arial" w:hAnsi="Arial" w:cs="Arial"/>
                        <w:b/>
                        <w:sz w:val="40"/>
                        <w:szCs w:val="40"/>
                      </w:rPr>
                      <w:t xml:space="preserve"> </w:t>
                    </w:r>
                  </w:p>
                  <w:p w:rsidR="001420C2" w:rsidRPr="00593B8E" w:rsidRDefault="001420C2">
                    <w:pPr>
                      <w:rPr>
                        <w:rFonts w:ascii="Arial" w:hAnsi="Arial" w:cs="Arial"/>
                        <w:b/>
                        <w:sz w:val="18"/>
                        <w:szCs w:val="18"/>
                      </w:rPr>
                    </w:pPr>
                  </w:p>
                </w:txbxContent>
              </v:textbox>
            </v:shape>
          </w:pict>
        </mc:Fallback>
      </mc:AlternateContent>
    </w:r>
    <w:r>
      <w:rPr>
        <w:noProof/>
      </w:rPr>
      <w:drawing>
        <wp:inline distT="0" distB="0" distL="0" distR="0" wp14:anchorId="3287093E" wp14:editId="017A6745">
          <wp:extent cx="975360" cy="10289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633" cy="10271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A9"/>
    <w:rsid w:val="00004FD5"/>
    <w:rsid w:val="000114D2"/>
    <w:rsid w:val="00015BE4"/>
    <w:rsid w:val="00034101"/>
    <w:rsid w:val="000B5795"/>
    <w:rsid w:val="0011007A"/>
    <w:rsid w:val="00123B3D"/>
    <w:rsid w:val="00131AE8"/>
    <w:rsid w:val="00133884"/>
    <w:rsid w:val="001420C2"/>
    <w:rsid w:val="001551F9"/>
    <w:rsid w:val="00173E16"/>
    <w:rsid w:val="00192D10"/>
    <w:rsid w:val="00245D43"/>
    <w:rsid w:val="002739C2"/>
    <w:rsid w:val="00273BC0"/>
    <w:rsid w:val="0032594C"/>
    <w:rsid w:val="003B1B65"/>
    <w:rsid w:val="0040302B"/>
    <w:rsid w:val="00450F2A"/>
    <w:rsid w:val="00521838"/>
    <w:rsid w:val="00563178"/>
    <w:rsid w:val="00593B8E"/>
    <w:rsid w:val="005E6426"/>
    <w:rsid w:val="005E7115"/>
    <w:rsid w:val="00607A16"/>
    <w:rsid w:val="00637B4B"/>
    <w:rsid w:val="0065118C"/>
    <w:rsid w:val="00685A6C"/>
    <w:rsid w:val="006A48B8"/>
    <w:rsid w:val="007043EB"/>
    <w:rsid w:val="007B2CE5"/>
    <w:rsid w:val="008D1B90"/>
    <w:rsid w:val="008F512D"/>
    <w:rsid w:val="00917AA3"/>
    <w:rsid w:val="009C6648"/>
    <w:rsid w:val="009D69C2"/>
    <w:rsid w:val="009F3CAE"/>
    <w:rsid w:val="00A74900"/>
    <w:rsid w:val="00A756FC"/>
    <w:rsid w:val="00A90185"/>
    <w:rsid w:val="00AD18FC"/>
    <w:rsid w:val="00AE3B4E"/>
    <w:rsid w:val="00B25244"/>
    <w:rsid w:val="00B44048"/>
    <w:rsid w:val="00BA0FA9"/>
    <w:rsid w:val="00C35769"/>
    <w:rsid w:val="00C9114D"/>
    <w:rsid w:val="00CB14EB"/>
    <w:rsid w:val="00D45152"/>
    <w:rsid w:val="00DA61EF"/>
    <w:rsid w:val="00E61965"/>
    <w:rsid w:val="00E927C1"/>
    <w:rsid w:val="00EF4967"/>
    <w:rsid w:val="00EF5C27"/>
    <w:rsid w:val="00F40977"/>
    <w:rsid w:val="00F45556"/>
    <w:rsid w:val="00FA0D5D"/>
    <w:rsid w:val="00FB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0F17B4-9D85-48F2-ADBD-B5FE90D9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7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E1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3E16"/>
    <w:rPr>
      <w:rFonts w:ascii="Tahoma" w:hAnsi="Tahoma" w:cs="Tahoma"/>
      <w:sz w:val="16"/>
      <w:szCs w:val="16"/>
    </w:rPr>
  </w:style>
  <w:style w:type="paragraph" w:styleId="Header">
    <w:name w:val="header"/>
    <w:basedOn w:val="Normal"/>
    <w:link w:val="HeaderChar"/>
    <w:uiPriority w:val="99"/>
    <w:unhideWhenUsed/>
    <w:rsid w:val="00BA0F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A0FA9"/>
  </w:style>
  <w:style w:type="paragraph" w:styleId="Footer">
    <w:name w:val="footer"/>
    <w:basedOn w:val="Normal"/>
    <w:link w:val="FooterChar"/>
    <w:uiPriority w:val="99"/>
    <w:unhideWhenUsed/>
    <w:rsid w:val="00BA0F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A0FA9"/>
  </w:style>
  <w:style w:type="table" w:styleId="TableGrid">
    <w:name w:val="Table Grid"/>
    <w:basedOn w:val="TableNormal"/>
    <w:uiPriority w:val="1"/>
    <w:rsid w:val="00BA0FA9"/>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E7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solu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Saul</dc:creator>
  <cp:lastModifiedBy>Mike Saul</cp:lastModifiedBy>
  <cp:revision>3</cp:revision>
  <dcterms:created xsi:type="dcterms:W3CDTF">2016-03-04T21:13:00Z</dcterms:created>
  <dcterms:modified xsi:type="dcterms:W3CDTF">2016-03-10T14:56:00Z</dcterms:modified>
</cp:coreProperties>
</file>